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5C277" wp14:editId="34D218E3">
                  <wp:extent cx="714375" cy="733425"/>
                  <wp:effectExtent l="0" t="0" r="9525" b="9525"/>
                  <wp:docPr id="4" name="Рисунок 4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4927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E2A89" w:rsidP="00CF67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BD3335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08.11</w:t>
            </w:r>
            <w:r w:rsidR="00835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835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94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DA72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DC50D7" w:rsidRPr="008514D3" w:rsidRDefault="00DC50D7" w:rsidP="00DC50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C50D7" w:rsidRPr="008514D3" w:rsidTr="000A63B4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C50D7" w:rsidRPr="008514D3" w:rsidTr="000A63B4">
              <w:tc>
                <w:tcPr>
                  <w:tcW w:w="10060" w:type="dxa"/>
                  <w:hideMark/>
                </w:tcPr>
                <w:p w:rsidR="008712E6" w:rsidRDefault="00DC50D7" w:rsidP="00434F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жилищного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контроля на террит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ории муниципального образования</w:t>
                  </w:r>
                  <w:r w:rsidR="00BD33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Благовещенский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DC50D7" w:rsidRPr="00DC50D7" w:rsidRDefault="00DC50D7" w:rsidP="00434F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202</w:t>
                  </w:r>
                  <w:r w:rsidR="00630BB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</w:t>
                  </w:r>
                  <w:r w:rsidR="008357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DC50D7" w:rsidRPr="008514D3" w:rsidRDefault="00DC50D7" w:rsidP="00871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C50D7" w:rsidRPr="00FB7AD1" w:rsidRDefault="00DC50D7" w:rsidP="00DC50D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BD3335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DC50D7" w:rsidRPr="00FB7AD1" w:rsidRDefault="00DC50D7" w:rsidP="00DC50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C50D7" w:rsidRDefault="00DC50D7" w:rsidP="00CF674B">
      <w:pPr>
        <w:spacing w:after="0"/>
        <w:rPr>
          <w:rFonts w:ascii="Arial" w:eastAsia="Calibri" w:hAnsi="Arial" w:cs="Arial"/>
          <w:sz w:val="24"/>
          <w:szCs w:val="24"/>
        </w:rPr>
      </w:pPr>
    </w:p>
    <w:p w:rsidR="0083573C" w:rsidRDefault="00DC50D7" w:rsidP="00CF67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жилищного</w:t>
      </w:r>
      <w:r w:rsidRPr="009E6C36">
        <w:rPr>
          <w:rFonts w:ascii="Arial" w:eastAsia="Times New Roman" w:hAnsi="Arial" w:cs="Arial"/>
          <w:sz w:val="24"/>
          <w:szCs w:val="24"/>
        </w:rPr>
        <w:t xml:space="preserve"> конт</w:t>
      </w:r>
      <w:r>
        <w:rPr>
          <w:rFonts w:ascii="Arial" w:eastAsia="Times New Roman" w:hAnsi="Arial" w:cs="Arial"/>
          <w:sz w:val="24"/>
          <w:szCs w:val="24"/>
        </w:rPr>
        <w:t xml:space="preserve">роля </w:t>
      </w:r>
      <w:r w:rsidRPr="009E6C36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</w:t>
      </w:r>
      <w:r w:rsidR="00BD3335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9E6C36">
        <w:rPr>
          <w:rFonts w:ascii="Arial" w:eastAsia="Times New Roman" w:hAnsi="Arial" w:cs="Arial"/>
          <w:sz w:val="24"/>
          <w:szCs w:val="24"/>
        </w:rPr>
        <w:t xml:space="preserve"> </w:t>
      </w:r>
      <w:r w:rsidR="004927AD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sz w:val="24"/>
          <w:szCs w:val="24"/>
        </w:rPr>
        <w:t xml:space="preserve"> на </w:t>
      </w:r>
      <w:r w:rsidRPr="009E6C36">
        <w:rPr>
          <w:rFonts w:ascii="Arial" w:eastAsia="Calibri" w:hAnsi="Arial" w:cs="Arial"/>
          <w:sz w:val="24"/>
          <w:szCs w:val="24"/>
        </w:rPr>
        <w:t>202</w:t>
      </w:r>
      <w:r w:rsidR="00630BB0">
        <w:rPr>
          <w:rFonts w:ascii="Arial" w:eastAsia="Calibri" w:hAnsi="Arial" w:cs="Arial"/>
          <w:sz w:val="24"/>
          <w:szCs w:val="24"/>
        </w:rPr>
        <w:t>5</w:t>
      </w:r>
      <w:r w:rsidR="0083573C">
        <w:rPr>
          <w:rFonts w:ascii="Arial" w:eastAsia="Calibri" w:hAnsi="Arial" w:cs="Arial"/>
          <w:sz w:val="24"/>
          <w:szCs w:val="24"/>
        </w:rPr>
        <w:t xml:space="preserve"> год</w:t>
      </w:r>
      <w:r w:rsidRPr="009E6C36">
        <w:rPr>
          <w:rFonts w:ascii="Arial" w:eastAsia="Calibri" w:hAnsi="Arial" w:cs="Arial"/>
          <w:sz w:val="24"/>
          <w:szCs w:val="24"/>
        </w:rPr>
        <w:t>, согласно Приложению</w:t>
      </w:r>
    </w:p>
    <w:p w:rsidR="00DC50D7" w:rsidRPr="009E6C36" w:rsidRDefault="0083573C" w:rsidP="00CF67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2. Постановление Администрации Благовещенского поссовета Благовещенского района Алтайского края от 14.12.2023 года № 462 признать утратившим силу.</w:t>
      </w:r>
    </w:p>
    <w:p w:rsidR="00CF674B" w:rsidRPr="008514D3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4927AD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674B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F674B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CF674B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F674B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4927AD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CF674B" w:rsidRDefault="00CF674B" w:rsidP="00CF674B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  <w:r w:rsidR="00BD3335">
        <w:rPr>
          <w:rFonts w:ascii="Arial" w:hAnsi="Arial" w:cs="Arial"/>
        </w:rPr>
        <w:t xml:space="preserve"> 8(38564) 21-1-73</w:t>
      </w:r>
    </w:p>
    <w:p w:rsidR="00CF674B" w:rsidRDefault="00CF674B" w:rsidP="00CF674B">
      <w:pPr>
        <w:rPr>
          <w:rFonts w:ascii="Arial" w:hAnsi="Arial" w:cs="Arial"/>
        </w:rPr>
      </w:pPr>
    </w:p>
    <w:p w:rsidR="00CF674B" w:rsidRPr="00C026A0" w:rsidRDefault="00630BB0" w:rsidP="00CF6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50D7" w:rsidRPr="008514D3" w:rsidRDefault="00DC50D7" w:rsidP="00DC50D7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DC50D7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DC50D7" w:rsidRPr="008514D3" w:rsidRDefault="004927AD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DC50D7" w:rsidRPr="008514D3">
        <w:rPr>
          <w:rFonts w:ascii="Arial" w:eastAsia="Calibri" w:hAnsi="Arial" w:cs="Arial"/>
        </w:rPr>
        <w:t xml:space="preserve"> поссовета </w:t>
      </w:r>
    </w:p>
    <w:p w:rsidR="00DC50D7" w:rsidRPr="00A530AA" w:rsidRDefault="00412144" w:rsidP="00DC50D7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="00BD3335">
        <w:rPr>
          <w:rFonts w:ascii="Arial" w:eastAsia="Calibri" w:hAnsi="Arial" w:cs="Arial"/>
        </w:rPr>
        <w:t>о</w:t>
      </w:r>
      <w:r w:rsidR="00DC50D7">
        <w:rPr>
          <w:rFonts w:ascii="Arial" w:eastAsia="Calibri" w:hAnsi="Arial" w:cs="Arial"/>
        </w:rPr>
        <w:t>т</w:t>
      </w:r>
      <w:r w:rsidR="00BD3335">
        <w:rPr>
          <w:rFonts w:ascii="Arial" w:eastAsia="Calibri" w:hAnsi="Arial" w:cs="Arial"/>
        </w:rPr>
        <w:t xml:space="preserve"> 08.11.2024</w:t>
      </w:r>
      <w:r w:rsidR="0083573C">
        <w:rPr>
          <w:rFonts w:ascii="Arial" w:eastAsia="Calibri" w:hAnsi="Arial" w:cs="Arial"/>
        </w:rPr>
        <w:t xml:space="preserve"> </w:t>
      </w:r>
      <w:r w:rsidR="00B51B24">
        <w:rPr>
          <w:rFonts w:ascii="Arial" w:eastAsia="Calibri" w:hAnsi="Arial" w:cs="Arial"/>
        </w:rPr>
        <w:t xml:space="preserve"> г.</w:t>
      </w:r>
      <w:r w:rsidR="00DC50D7" w:rsidRPr="00A530AA">
        <w:rPr>
          <w:rFonts w:ascii="Arial" w:eastAsia="Calibri" w:hAnsi="Arial" w:cs="Arial"/>
        </w:rPr>
        <w:t xml:space="preserve"> №</w:t>
      </w:r>
      <w:r w:rsidR="0083573C">
        <w:rPr>
          <w:rFonts w:ascii="Arial" w:eastAsia="Calibri" w:hAnsi="Arial" w:cs="Arial"/>
        </w:rPr>
        <w:t xml:space="preserve"> </w:t>
      </w:r>
      <w:r w:rsidR="00794722">
        <w:rPr>
          <w:rFonts w:ascii="Arial" w:eastAsia="Calibri" w:hAnsi="Arial" w:cs="Arial"/>
        </w:rPr>
        <w:t>233</w:t>
      </w:r>
      <w:bookmarkStart w:id="0" w:name="_GoBack"/>
      <w:bookmarkEnd w:id="0"/>
    </w:p>
    <w:p w:rsidR="00DC50D7" w:rsidRPr="008514D3" w:rsidRDefault="00DC50D7" w:rsidP="00DC50D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</w:t>
      </w:r>
      <w:r w:rsidR="00692C94">
        <w:rPr>
          <w:rFonts w:ascii="Arial" w:eastAsia="Times New Roman" w:hAnsi="Arial" w:cs="Arial"/>
          <w:b/>
          <w:sz w:val="24"/>
          <w:szCs w:val="24"/>
        </w:rPr>
        <w:t xml:space="preserve"> жилищного</w:t>
      </w:r>
      <w:r w:rsidR="00AB29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2C94">
        <w:rPr>
          <w:rFonts w:ascii="Arial" w:eastAsia="Times New Roman" w:hAnsi="Arial" w:cs="Arial"/>
          <w:b/>
          <w:sz w:val="24"/>
          <w:szCs w:val="24"/>
        </w:rPr>
        <w:t>контроля</w:t>
      </w:r>
      <w:r>
        <w:rPr>
          <w:rFonts w:ascii="Arial" w:eastAsia="Times New Roman" w:hAnsi="Arial" w:cs="Arial"/>
          <w:b/>
          <w:sz w:val="24"/>
          <w:szCs w:val="24"/>
        </w:rPr>
        <w:t xml:space="preserve"> на территории муниципального образования</w:t>
      </w:r>
      <w:r w:rsidR="00BD3335">
        <w:rPr>
          <w:rFonts w:ascii="Arial" w:eastAsia="Times New Roman" w:hAnsi="Arial" w:cs="Arial"/>
          <w:b/>
          <w:sz w:val="24"/>
          <w:szCs w:val="24"/>
        </w:rPr>
        <w:t xml:space="preserve"> городское поселение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27AD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b/>
          <w:sz w:val="24"/>
          <w:szCs w:val="24"/>
        </w:rPr>
        <w:t>202</w:t>
      </w:r>
      <w:r w:rsidR="00630BB0">
        <w:rPr>
          <w:rFonts w:ascii="Arial" w:eastAsia="Calibri" w:hAnsi="Arial" w:cs="Arial"/>
          <w:b/>
          <w:sz w:val="24"/>
          <w:szCs w:val="24"/>
        </w:rPr>
        <w:t>5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</w:t>
            </w:r>
            <w:r w:rsidR="0069217E">
              <w:rPr>
                <w:sz w:val="26"/>
                <w:szCs w:val="26"/>
              </w:rPr>
              <w:t xml:space="preserve"> муниципального образования</w:t>
            </w:r>
            <w:r w:rsidR="00BD3335">
              <w:rPr>
                <w:sz w:val="26"/>
                <w:szCs w:val="26"/>
              </w:rPr>
              <w:t xml:space="preserve"> городское поселение</w:t>
            </w:r>
            <w:r w:rsidR="0069217E">
              <w:rPr>
                <w:sz w:val="26"/>
                <w:szCs w:val="26"/>
              </w:rPr>
              <w:t xml:space="preserve"> </w:t>
            </w:r>
            <w:r w:rsidR="004927AD">
              <w:rPr>
                <w:sz w:val="26"/>
                <w:szCs w:val="26"/>
              </w:rPr>
              <w:t>Благовещенский</w:t>
            </w:r>
            <w:r w:rsidR="0069217E">
              <w:rPr>
                <w:sz w:val="26"/>
                <w:szCs w:val="26"/>
              </w:rPr>
              <w:t xml:space="preserve"> поссовет на</w:t>
            </w:r>
            <w:r w:rsidR="008357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jc w:val="center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FB655A" w:rsidRPr="005F1527" w:rsidRDefault="004927AD" w:rsidP="000A6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Благовещенского</w:t>
            </w:r>
            <w:r w:rsidR="00630BB0">
              <w:rPr>
                <w:sz w:val="26"/>
                <w:szCs w:val="26"/>
              </w:rPr>
              <w:t xml:space="preserve"> поссовета Благовещенского района Алтайского края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Федеральный закон от 31.07.2020 №248-ФЗ "О</w:t>
            </w:r>
            <w:r w:rsidRPr="005F1527">
              <w:rPr>
                <w:color w:val="000000" w:themeColor="text1"/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proofErr w:type="gramStart"/>
            <w:r w:rsidRPr="005F1527">
              <w:rPr>
                <w:sz w:val="26"/>
                <w:szCs w:val="26"/>
              </w:rPr>
              <w:t>–т</w:t>
            </w:r>
            <w:proofErr w:type="gramEnd"/>
            <w:r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FB655A" w:rsidRPr="005F1527" w:rsidRDefault="00FB655A" w:rsidP="00630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>год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FB655A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У</w:t>
            </w:r>
            <w:r w:rsidRPr="005F1527">
              <w:rPr>
                <w:sz w:val="26"/>
                <w:szCs w:val="26"/>
              </w:rPr>
              <w:t>меньшение количества нарушений</w:t>
            </w:r>
            <w:r>
              <w:rPr>
                <w:sz w:val="26"/>
                <w:szCs w:val="26"/>
              </w:rPr>
              <w:t xml:space="preserve"> физическими лицами,</w:t>
            </w:r>
            <w:r w:rsidRPr="005F1527">
              <w:rPr>
                <w:sz w:val="26"/>
                <w:szCs w:val="26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sz w:val="26"/>
                <w:szCs w:val="26"/>
              </w:rPr>
              <w:t>жилищному контролю.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 xml:space="preserve">овышение уровня грамотности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</w:t>
            </w:r>
            <w:r>
              <w:rPr>
                <w:sz w:val="26"/>
                <w:szCs w:val="26"/>
              </w:rPr>
              <w:t>предпринимателей.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 xml:space="preserve">беспечение единообразия понимания предмета контроля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лицами, ин</w:t>
            </w:r>
            <w:r>
              <w:rPr>
                <w:sz w:val="26"/>
                <w:szCs w:val="26"/>
              </w:rPr>
              <w:t>дивидуальными предпринимателями.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Р</w:t>
            </w:r>
            <w:r w:rsidRPr="005F1527">
              <w:rPr>
                <w:sz w:val="26"/>
                <w:szCs w:val="26"/>
              </w:rPr>
              <w:t xml:space="preserve">азвитие системы профилактических </w:t>
            </w:r>
            <w:r>
              <w:rPr>
                <w:sz w:val="26"/>
                <w:szCs w:val="26"/>
              </w:rPr>
              <w:t>мероприятий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>беспечение квалифицированной профилактической работы до</w:t>
            </w:r>
            <w:r>
              <w:rPr>
                <w:sz w:val="26"/>
                <w:szCs w:val="26"/>
              </w:rPr>
              <w:t>лжностных лиц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д</w:t>
            </w:r>
            <w:r>
              <w:rPr>
                <w:sz w:val="26"/>
                <w:szCs w:val="26"/>
              </w:rPr>
              <w:t>еятельности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М</w:t>
            </w:r>
            <w:r w:rsidRPr="005F1527">
              <w:rPr>
                <w:sz w:val="26"/>
                <w:szCs w:val="26"/>
              </w:rPr>
              <w:t xml:space="preserve">отивация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</w:t>
            </w:r>
            <w:r>
              <w:rPr>
                <w:sz w:val="26"/>
                <w:szCs w:val="26"/>
              </w:rPr>
              <w:t>лей к добросовестному поведению.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С</w:t>
            </w:r>
            <w:r w:rsidRPr="005F1527">
              <w:rPr>
                <w:sz w:val="26"/>
                <w:szCs w:val="26"/>
              </w:rPr>
              <w:t xml:space="preserve">нижение количества нарушений в деятельности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предпринимателей; 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В</w:t>
            </w:r>
            <w:r w:rsidRPr="005F1527">
              <w:rPr>
                <w:sz w:val="26"/>
                <w:szCs w:val="26"/>
              </w:rPr>
              <w:t xml:space="preserve">ыявление и устранение причин и условий, способствующих совершению </w:t>
            </w:r>
            <w:r>
              <w:rPr>
                <w:sz w:val="26"/>
                <w:szCs w:val="26"/>
              </w:rPr>
              <w:t xml:space="preserve">физическими лицами </w:t>
            </w:r>
            <w:r w:rsidRPr="005F1527">
              <w:rPr>
                <w:sz w:val="26"/>
                <w:szCs w:val="26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sz w:val="26"/>
                <w:szCs w:val="26"/>
              </w:rPr>
              <w:t>рушений законодательства в сфере муниципального жилищного контроля.</w:t>
            </w:r>
          </w:p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системы контрольной деятельности.</w:t>
            </w:r>
          </w:p>
        </w:tc>
      </w:tr>
    </w:tbl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 Анализ текущ</w:t>
      </w:r>
      <w:r>
        <w:rPr>
          <w:sz w:val="26"/>
          <w:szCs w:val="26"/>
        </w:rPr>
        <w:t>его состояния осуществления</w:t>
      </w:r>
      <w:r w:rsidR="00D71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655A" w:rsidRPr="005F1527" w:rsidRDefault="00FB655A" w:rsidP="00FB655A">
      <w:pPr>
        <w:jc w:val="center"/>
        <w:rPr>
          <w:b/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</w:t>
      </w:r>
      <w:r w:rsidR="004927AD">
        <w:rPr>
          <w:sz w:val="26"/>
          <w:szCs w:val="26"/>
        </w:rPr>
        <w:t>муниципального образования</w:t>
      </w:r>
      <w:r w:rsidR="00BD3335">
        <w:rPr>
          <w:sz w:val="26"/>
          <w:szCs w:val="26"/>
        </w:rPr>
        <w:t xml:space="preserve"> городское поселение</w:t>
      </w:r>
      <w:r w:rsidR="004927AD">
        <w:rPr>
          <w:sz w:val="26"/>
          <w:szCs w:val="26"/>
        </w:rPr>
        <w:t xml:space="preserve"> Благовещенский</w:t>
      </w:r>
      <w:r w:rsidR="0069217E">
        <w:rPr>
          <w:sz w:val="26"/>
          <w:szCs w:val="26"/>
        </w:rPr>
        <w:t xml:space="preserve"> поссовет Благовещенского района Алтайского края</w:t>
      </w:r>
      <w:r>
        <w:rPr>
          <w:sz w:val="26"/>
          <w:szCs w:val="26"/>
        </w:rPr>
        <w:t xml:space="preserve"> на 202</w:t>
      </w:r>
      <w:r w:rsidR="00630BB0">
        <w:rPr>
          <w:sz w:val="26"/>
          <w:szCs w:val="26"/>
        </w:rPr>
        <w:t>5</w:t>
      </w:r>
      <w:r w:rsidRPr="005F1527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="00F21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A52F3A" w:rsidRDefault="00FB655A" w:rsidP="00FB655A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9.Определение перечня видов и сбор статистических данных, необходимых для организации профилактической работы.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630BB0" w:rsidRDefault="00630BB0" w:rsidP="00630BB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30BB0" w:rsidRPr="00A52F3A" w:rsidRDefault="00630BB0" w:rsidP="00630BB0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1</w:t>
      </w:r>
    </w:p>
    <w:p w:rsidR="00630BB0" w:rsidRDefault="00630BB0" w:rsidP="00630BB0">
      <w:pPr>
        <w:ind w:firstLine="567"/>
        <w:jc w:val="center"/>
        <w:rPr>
          <w:b/>
          <w:sz w:val="24"/>
          <w:szCs w:val="24"/>
        </w:rPr>
      </w:pPr>
    </w:p>
    <w:tbl>
      <w:tblPr>
        <w:tblW w:w="1060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814"/>
        <w:gridCol w:w="1984"/>
        <w:gridCol w:w="2196"/>
      </w:tblGrid>
      <w:tr w:rsidR="00630BB0" w:rsidTr="00BD3335">
        <w:trPr>
          <w:trHeight w:hRule="exact"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30BB0" w:rsidRDefault="00630BB0">
            <w:pPr>
              <w:jc w:val="center"/>
              <w:rPr>
                <w:b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30BB0" w:rsidTr="00BD3335">
        <w:trPr>
          <w:trHeight w:hRule="exact" w:val="141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</w:t>
            </w:r>
            <w:r w:rsidR="004927AD">
              <w:t>те Администрации Благовещенского</w:t>
            </w:r>
            <w:r>
              <w:t xml:space="preserve"> поссовета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1.Текстов нормативных правовых актов, регулирующих осуществление муниципального контроля.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4.Программы профилактики рисков причинения вреда.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5. Сведений о способах получения консультаций по вопросам соблюдения обязательных требований.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  <w:r>
              <w:t>6.Перечень сведений, которые могут запрашиваться у контролируемого лица.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t>7.Проверочных листов</w:t>
            </w:r>
            <w:r>
              <w:rPr>
                <w:sz w:val="26"/>
                <w:szCs w:val="26"/>
              </w:rPr>
              <w:t>.</w:t>
            </w: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0"/>
                <w:szCs w:val="20"/>
              </w:rPr>
            </w:pPr>
            <w:r>
              <w:t>8. Информации и сведений, выносимых на обсуждение при организации и проведении публичных мероприятий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jc w:val="both"/>
            </w:pPr>
            <w:r>
              <w:t>Постоянно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20 декабря предшествующего года</w:t>
            </w: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/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5 рабочих дней после их утверждения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adjustRightInd w:val="0"/>
              <w:outlineLvl w:val="0"/>
            </w:pPr>
            <w:r>
              <w:t>не реже 1 раза в год</w:t>
            </w:r>
          </w:p>
          <w:p w:rsidR="00630BB0" w:rsidRDefault="00630BB0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 w:rsidP="0088416C">
            <w:pPr>
              <w:jc w:val="both"/>
            </w:pPr>
            <w:r>
              <w:t>Специалист</w:t>
            </w:r>
            <w:r w:rsidR="0088416C">
              <w:t xml:space="preserve"> по архитектуре и градостроительству Администрации поссовета </w:t>
            </w:r>
            <w:r>
              <w:t xml:space="preserve"> </w:t>
            </w:r>
          </w:p>
        </w:tc>
      </w:tr>
      <w:tr w:rsidR="00630BB0" w:rsidTr="00BD3335">
        <w:trPr>
          <w:trHeight w:hRule="exact" w:val="6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30BB0" w:rsidRDefault="00630BB0">
            <w:pPr>
              <w:jc w:val="both"/>
            </w:pPr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 xml:space="preserve">Специалист </w:t>
            </w:r>
            <w:r w:rsidR="0088416C">
              <w:t>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41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79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34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630BB0" w:rsidRDefault="00630BB0">
            <w:pPr>
              <w:widowControl w:val="0"/>
              <w:spacing w:line="230" w:lineRule="exact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shd w:val="clear" w:color="auto" w:fill="FFFFFF"/>
              <w:jc w:val="both"/>
            </w:pPr>
            <w:r>
              <w:t>Не реже 1 раза  в год</w:t>
            </w:r>
          </w:p>
          <w:p w:rsidR="00630BB0" w:rsidRDefault="00630BB0">
            <w:pPr>
              <w:shd w:val="clear" w:color="auto" w:fill="FFFFFF"/>
              <w:spacing w:line="288" w:lineRule="atLeast"/>
              <w:textAlignment w:val="baseline"/>
            </w:pPr>
            <w:r>
              <w:rPr>
                <w:lang w:val="en-US"/>
              </w:rPr>
              <w:t>I</w:t>
            </w:r>
            <w:r w:rsidRPr="00630BB0">
              <w:t xml:space="preserve"> </w:t>
            </w:r>
            <w:r>
              <w:t>квартал – детский сад, школа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</w:tbl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D219C" w:rsidRDefault="00FB655A" w:rsidP="00FB655A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5D219C">
        <w:rPr>
          <w:sz w:val="26"/>
          <w:szCs w:val="26"/>
        </w:rPr>
        <w:t>программы профилактики рисков причинения вреда</w:t>
      </w:r>
      <w:proofErr w:type="gramEnd"/>
      <w:r w:rsidRPr="005D219C">
        <w:rPr>
          <w:sz w:val="26"/>
          <w:szCs w:val="26"/>
        </w:rPr>
        <w:t>.</w:t>
      </w:r>
    </w:p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 w:rsidR="00EA2644">
        <w:rPr>
          <w:sz w:val="26"/>
          <w:szCs w:val="26"/>
        </w:rPr>
        <w:t>Администрацией поссовета</w:t>
      </w:r>
    </w:p>
    <w:p w:rsidR="00FB655A" w:rsidRDefault="00FB655A" w:rsidP="00630BB0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531"/>
        <w:gridCol w:w="283"/>
      </w:tblGrid>
      <w:tr w:rsidR="00FB655A" w:rsidTr="0083573C">
        <w:trPr>
          <w:trHeight w:val="270"/>
        </w:trPr>
        <w:tc>
          <w:tcPr>
            <w:tcW w:w="6374" w:type="dxa"/>
            <w:vMerge w:val="restart"/>
          </w:tcPr>
          <w:p w:rsidR="00FB655A" w:rsidRDefault="00FB655A" w:rsidP="000A63B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14" w:type="dxa"/>
            <w:gridSpan w:val="2"/>
          </w:tcPr>
          <w:p w:rsidR="00FB655A" w:rsidRPr="008A580E" w:rsidRDefault="00FB655A" w:rsidP="000A63B4">
            <w:pPr>
              <w:jc w:val="center"/>
            </w:pPr>
            <w:r>
              <w:t>Период, год</w:t>
            </w:r>
          </w:p>
        </w:tc>
      </w:tr>
      <w:tr w:rsidR="00FB655A" w:rsidTr="0083573C">
        <w:trPr>
          <w:trHeight w:val="300"/>
        </w:trPr>
        <w:tc>
          <w:tcPr>
            <w:tcW w:w="6374" w:type="dxa"/>
            <w:vMerge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3573C">
              <w:rPr>
                <w:sz w:val="26"/>
                <w:szCs w:val="26"/>
              </w:rPr>
              <w:t>5</w:t>
            </w:r>
          </w:p>
        </w:tc>
        <w:tc>
          <w:tcPr>
            <w:tcW w:w="283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84"/>
        <w:gridCol w:w="1869"/>
        <w:gridCol w:w="1869"/>
        <w:gridCol w:w="1869"/>
      </w:tblGrid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DC50D7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630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CE" w:rsidRDefault="00E915CE" w:rsidP="0042284A">
      <w:pPr>
        <w:spacing w:after="0" w:line="240" w:lineRule="auto"/>
      </w:pPr>
      <w:r>
        <w:separator/>
      </w:r>
    </w:p>
  </w:endnote>
  <w:endnote w:type="continuationSeparator" w:id="0">
    <w:p w:rsidR="00E915CE" w:rsidRDefault="00E915CE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CE" w:rsidRDefault="00E915CE" w:rsidP="0042284A">
      <w:pPr>
        <w:spacing w:after="0" w:line="240" w:lineRule="auto"/>
      </w:pPr>
      <w:r>
        <w:separator/>
      </w:r>
    </w:p>
  </w:footnote>
  <w:footnote w:type="continuationSeparator" w:id="0">
    <w:p w:rsidR="00E915CE" w:rsidRDefault="00E915CE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060"/>
    <w:rsid w:val="0003613B"/>
    <w:rsid w:val="000370CF"/>
    <w:rsid w:val="00075AD3"/>
    <w:rsid w:val="00095225"/>
    <w:rsid w:val="000A63B4"/>
    <w:rsid w:val="000C6C94"/>
    <w:rsid w:val="00100253"/>
    <w:rsid w:val="001539D3"/>
    <w:rsid w:val="00181067"/>
    <w:rsid w:val="00182A66"/>
    <w:rsid w:val="00197642"/>
    <w:rsid w:val="001C3A85"/>
    <w:rsid w:val="00210FFC"/>
    <w:rsid w:val="00221A60"/>
    <w:rsid w:val="00237FBB"/>
    <w:rsid w:val="002621BD"/>
    <w:rsid w:val="00263E80"/>
    <w:rsid w:val="002B5346"/>
    <w:rsid w:val="002D1C02"/>
    <w:rsid w:val="002F2B7D"/>
    <w:rsid w:val="00336FCD"/>
    <w:rsid w:val="0034554B"/>
    <w:rsid w:val="00361099"/>
    <w:rsid w:val="00377AA6"/>
    <w:rsid w:val="003A6955"/>
    <w:rsid w:val="003F43BE"/>
    <w:rsid w:val="003F7BD5"/>
    <w:rsid w:val="00412144"/>
    <w:rsid w:val="0042284A"/>
    <w:rsid w:val="004239E8"/>
    <w:rsid w:val="00434F9C"/>
    <w:rsid w:val="00455862"/>
    <w:rsid w:val="00457D26"/>
    <w:rsid w:val="004826D9"/>
    <w:rsid w:val="004927AD"/>
    <w:rsid w:val="004B312F"/>
    <w:rsid w:val="004B32BF"/>
    <w:rsid w:val="004C0017"/>
    <w:rsid w:val="004F2BF1"/>
    <w:rsid w:val="005163BB"/>
    <w:rsid w:val="0053475D"/>
    <w:rsid w:val="00534D75"/>
    <w:rsid w:val="0053766F"/>
    <w:rsid w:val="00573186"/>
    <w:rsid w:val="005903E5"/>
    <w:rsid w:val="00594CB3"/>
    <w:rsid w:val="005D7134"/>
    <w:rsid w:val="00630BB0"/>
    <w:rsid w:val="0069217E"/>
    <w:rsid w:val="00692C94"/>
    <w:rsid w:val="00702D0D"/>
    <w:rsid w:val="00775FAB"/>
    <w:rsid w:val="00794722"/>
    <w:rsid w:val="007A4071"/>
    <w:rsid w:val="007D44B6"/>
    <w:rsid w:val="007E6C41"/>
    <w:rsid w:val="008308A1"/>
    <w:rsid w:val="0083573C"/>
    <w:rsid w:val="0084440C"/>
    <w:rsid w:val="008514D3"/>
    <w:rsid w:val="008712E6"/>
    <w:rsid w:val="0088416C"/>
    <w:rsid w:val="008B7C45"/>
    <w:rsid w:val="008C7DCD"/>
    <w:rsid w:val="008E3B79"/>
    <w:rsid w:val="00900343"/>
    <w:rsid w:val="00911D38"/>
    <w:rsid w:val="0091384B"/>
    <w:rsid w:val="00922FF4"/>
    <w:rsid w:val="00933DD2"/>
    <w:rsid w:val="009403F5"/>
    <w:rsid w:val="009A7117"/>
    <w:rsid w:val="009B3D5A"/>
    <w:rsid w:val="009B4E6C"/>
    <w:rsid w:val="009D096F"/>
    <w:rsid w:val="009D2C60"/>
    <w:rsid w:val="009E6C36"/>
    <w:rsid w:val="00A32807"/>
    <w:rsid w:val="00A3784C"/>
    <w:rsid w:val="00A530AA"/>
    <w:rsid w:val="00A6406B"/>
    <w:rsid w:val="00A67B2F"/>
    <w:rsid w:val="00A930EE"/>
    <w:rsid w:val="00AB297D"/>
    <w:rsid w:val="00AF0F9B"/>
    <w:rsid w:val="00B2064C"/>
    <w:rsid w:val="00B24AE2"/>
    <w:rsid w:val="00B51B24"/>
    <w:rsid w:val="00B644A7"/>
    <w:rsid w:val="00BC5A4C"/>
    <w:rsid w:val="00BD3335"/>
    <w:rsid w:val="00C026A0"/>
    <w:rsid w:val="00C83250"/>
    <w:rsid w:val="00C97891"/>
    <w:rsid w:val="00CB54A6"/>
    <w:rsid w:val="00CE7107"/>
    <w:rsid w:val="00CF3AED"/>
    <w:rsid w:val="00CF674B"/>
    <w:rsid w:val="00D115E7"/>
    <w:rsid w:val="00D70B90"/>
    <w:rsid w:val="00D71E18"/>
    <w:rsid w:val="00D7345B"/>
    <w:rsid w:val="00D83219"/>
    <w:rsid w:val="00D9149B"/>
    <w:rsid w:val="00DA726A"/>
    <w:rsid w:val="00DC50D7"/>
    <w:rsid w:val="00DE2A89"/>
    <w:rsid w:val="00E01E86"/>
    <w:rsid w:val="00E46590"/>
    <w:rsid w:val="00E712CF"/>
    <w:rsid w:val="00E761F1"/>
    <w:rsid w:val="00E81484"/>
    <w:rsid w:val="00E86598"/>
    <w:rsid w:val="00E915CE"/>
    <w:rsid w:val="00EA1EFB"/>
    <w:rsid w:val="00EA2644"/>
    <w:rsid w:val="00EB5BE3"/>
    <w:rsid w:val="00ED3280"/>
    <w:rsid w:val="00ED5942"/>
    <w:rsid w:val="00ED7B4B"/>
    <w:rsid w:val="00EE414B"/>
    <w:rsid w:val="00F21996"/>
    <w:rsid w:val="00F22487"/>
    <w:rsid w:val="00F35B20"/>
    <w:rsid w:val="00F97D4C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2024-11-07T02:42:00Z</cp:lastPrinted>
  <dcterms:created xsi:type="dcterms:W3CDTF">2023-12-13T06:14:00Z</dcterms:created>
  <dcterms:modified xsi:type="dcterms:W3CDTF">2024-11-08T07:18:00Z</dcterms:modified>
</cp:coreProperties>
</file>